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CE" w:rsidRPr="00077F51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077F51">
        <w:rPr>
          <w:b/>
          <w:bCs/>
          <w:color w:val="22232F"/>
          <w:kern w:val="36"/>
          <w:sz w:val="28"/>
          <w:szCs w:val="28"/>
        </w:rPr>
        <w:t>Л</w:t>
      </w:r>
      <w:r w:rsidR="000F68F7" w:rsidRPr="00077F51">
        <w:rPr>
          <w:b/>
          <w:bCs/>
          <w:color w:val="22232F"/>
          <w:kern w:val="36"/>
          <w:sz w:val="28"/>
          <w:szCs w:val="28"/>
        </w:rPr>
        <w:t>ьготн</w:t>
      </w:r>
      <w:r w:rsidR="00362E51" w:rsidRPr="00077F51">
        <w:rPr>
          <w:b/>
          <w:bCs/>
          <w:color w:val="22232F"/>
          <w:kern w:val="36"/>
          <w:sz w:val="28"/>
          <w:szCs w:val="28"/>
        </w:rPr>
        <w:t>о</w:t>
      </w:r>
      <w:r w:rsidRPr="00077F51">
        <w:rPr>
          <w:b/>
          <w:bCs/>
          <w:color w:val="22232F"/>
          <w:kern w:val="36"/>
          <w:sz w:val="28"/>
          <w:szCs w:val="28"/>
        </w:rPr>
        <w:t>е</w:t>
      </w:r>
      <w:r w:rsidR="000F68F7" w:rsidRPr="00077F51">
        <w:rPr>
          <w:b/>
          <w:bCs/>
          <w:color w:val="22232F"/>
          <w:kern w:val="36"/>
          <w:sz w:val="28"/>
          <w:szCs w:val="28"/>
        </w:rPr>
        <w:t xml:space="preserve"> кредит</w:t>
      </w:r>
      <w:r w:rsidR="00362E51" w:rsidRPr="00077F51">
        <w:rPr>
          <w:b/>
          <w:bCs/>
          <w:color w:val="22232F"/>
          <w:kern w:val="36"/>
          <w:sz w:val="28"/>
          <w:szCs w:val="28"/>
        </w:rPr>
        <w:t>овани</w:t>
      </w:r>
      <w:r w:rsidRPr="00077F51">
        <w:rPr>
          <w:b/>
          <w:bCs/>
          <w:color w:val="22232F"/>
          <w:kern w:val="36"/>
          <w:sz w:val="28"/>
          <w:szCs w:val="28"/>
        </w:rPr>
        <w:t>е</w:t>
      </w:r>
      <w:r w:rsidR="00964120" w:rsidRPr="00077F51">
        <w:rPr>
          <w:b/>
          <w:bCs/>
          <w:color w:val="22232F"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AD51CE" w:rsidRPr="00077F51">
        <w:rPr>
          <w:b/>
          <w:bCs/>
          <w:color w:val="22232F"/>
          <w:kern w:val="36"/>
          <w:sz w:val="28"/>
          <w:szCs w:val="28"/>
        </w:rPr>
        <w:t xml:space="preserve"> </w:t>
      </w:r>
      <w:r w:rsidR="001324C0" w:rsidRPr="00077F51">
        <w:rPr>
          <w:b/>
          <w:bCs/>
          <w:color w:val="22232F"/>
          <w:kern w:val="36"/>
          <w:sz w:val="28"/>
          <w:szCs w:val="28"/>
        </w:rPr>
        <w:t>в рамках Программы Минэкономразвития России</w:t>
      </w:r>
      <w:r w:rsidR="00AD51CE" w:rsidRPr="00077F51">
        <w:rPr>
          <w:sz w:val="28"/>
          <w:szCs w:val="28"/>
        </w:rPr>
        <w:t>.</w:t>
      </w:r>
    </w:p>
    <w:p w:rsid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</w:rPr>
      </w:pPr>
    </w:p>
    <w:p w:rsidR="001324C0" w:rsidRPr="00077F51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22232F"/>
          <w:kern w:val="36"/>
          <w:sz w:val="28"/>
          <w:szCs w:val="28"/>
        </w:rPr>
      </w:pPr>
      <w:r w:rsidRPr="00077F51">
        <w:rPr>
          <w:color w:val="2F2F2F"/>
          <w:sz w:val="28"/>
          <w:szCs w:val="28"/>
        </w:rPr>
        <w:t xml:space="preserve">Льготные кредиты можно взять </w:t>
      </w:r>
      <w:r w:rsidR="00077F51" w:rsidRPr="00077F51">
        <w:rPr>
          <w:color w:val="2F2F2F"/>
          <w:sz w:val="28"/>
          <w:szCs w:val="28"/>
        </w:rPr>
        <w:t>в рублях РФ</w:t>
      </w:r>
      <w:r w:rsidR="00077F51" w:rsidRPr="00077F51">
        <w:rPr>
          <w:b/>
          <w:sz w:val="28"/>
          <w:szCs w:val="28"/>
        </w:rPr>
        <w:t xml:space="preserve"> </w:t>
      </w:r>
      <w:r w:rsidRPr="00077F51">
        <w:rPr>
          <w:b/>
          <w:sz w:val="28"/>
          <w:szCs w:val="28"/>
        </w:rPr>
        <w:t>на конкретные цели</w:t>
      </w:r>
      <w:r w:rsidRPr="00077F51">
        <w:rPr>
          <w:b/>
          <w:bCs/>
          <w:color w:val="22232F"/>
          <w:kern w:val="36"/>
          <w:sz w:val="28"/>
          <w:szCs w:val="28"/>
        </w:rPr>
        <w:t>:</w:t>
      </w:r>
    </w:p>
    <w:p w:rsidR="001324C0" w:rsidRPr="00077F51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</w:pPr>
      <w:r w:rsidRPr="00077F51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инвестиционные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</w:t>
      </w:r>
      <w:r w:rsid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ч до 1 миллиарда рублей сроком до 10 лет и до 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1324C0" w:rsidRPr="00077F51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</w:pP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 </w:t>
      </w:r>
      <w:r w:rsidRPr="00077F51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на пополнение оборотных средств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 в размере от 500 тысяч до</w:t>
      </w:r>
      <w:r w:rsid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 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500</w:t>
      </w:r>
      <w:r w:rsid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 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>миллионов рублей сроком до 3-х лет.</w:t>
      </w:r>
    </w:p>
    <w:p w:rsidR="001324C0" w:rsidRPr="00077F51" w:rsidRDefault="001324C0" w:rsidP="00077F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</w:pPr>
    </w:p>
    <w:p w:rsidR="001324C0" w:rsidRDefault="001324C0" w:rsidP="00077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  <w:r w:rsidRPr="00077F51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Льготная конечная ставка</w:t>
      </w:r>
      <w:r w:rsidRPr="00077F51">
        <w:rPr>
          <w:rFonts w:ascii="Times New Roman" w:eastAsia="Times New Roman" w:hAnsi="Times New Roman" w:cs="Times New Roman"/>
          <w:bCs/>
          <w:color w:val="22232F"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077F51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8,5% годовых.</w:t>
      </w:r>
    </w:p>
    <w:p w:rsidR="00077F51" w:rsidRPr="00077F51" w:rsidRDefault="00077F51" w:rsidP="00077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</w:p>
    <w:p w:rsidR="00394231" w:rsidRPr="00077F51" w:rsidRDefault="0039423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bCs w:val="0"/>
          <w:color w:val="111111"/>
          <w:sz w:val="28"/>
          <w:szCs w:val="28"/>
        </w:rPr>
        <w:t xml:space="preserve">Как </w:t>
      </w:r>
      <w:r w:rsidR="00077F51">
        <w:rPr>
          <w:rFonts w:ascii="Times New Roman" w:hAnsi="Times New Roman" w:cs="Times New Roman"/>
          <w:bCs w:val="0"/>
          <w:color w:val="111111"/>
          <w:sz w:val="28"/>
          <w:szCs w:val="28"/>
        </w:rPr>
        <w:t>получить деньги по госпрограммы</w:t>
      </w:r>
      <w:r w:rsidRPr="00077F51">
        <w:rPr>
          <w:rFonts w:ascii="Times New Roman" w:hAnsi="Times New Roman" w:cs="Times New Roman"/>
          <w:bCs w:val="0"/>
          <w:color w:val="111111"/>
          <w:sz w:val="28"/>
          <w:szCs w:val="28"/>
        </w:rPr>
        <w:t>?</w:t>
      </w:r>
    </w:p>
    <w:p w:rsidR="00394231" w:rsidRPr="00077F51" w:rsidRDefault="00287B4C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7F51">
        <w:rPr>
          <w:b/>
          <w:color w:val="000000"/>
          <w:sz w:val="28"/>
          <w:szCs w:val="28"/>
        </w:rPr>
        <w:t>У</w:t>
      </w:r>
      <w:r w:rsidR="00394231" w:rsidRPr="00077F51">
        <w:rPr>
          <w:b/>
          <w:color w:val="000000"/>
          <w:sz w:val="28"/>
          <w:szCs w:val="28"/>
        </w:rPr>
        <w:t>бедитесь</w:t>
      </w:r>
      <w:r w:rsidR="00077F51">
        <w:rPr>
          <w:color w:val="000000"/>
          <w:sz w:val="28"/>
          <w:szCs w:val="28"/>
        </w:rPr>
        <w:t xml:space="preserve">, что ваш бизнес внесен в </w:t>
      </w:r>
      <w:hyperlink r:id="rId8" w:tgtFrame="_blank" w:history="1">
        <w:r w:rsidR="00394231" w:rsidRPr="00077F51">
          <w:rPr>
            <w:rStyle w:val="a3"/>
            <w:color w:val="7030A0"/>
            <w:sz w:val="28"/>
            <w:szCs w:val="28"/>
          </w:rPr>
          <w:t>Единый реестр субъектов малого и среднего предпринимательства</w:t>
        </w:r>
      </w:hyperlink>
      <w:r w:rsidR="00394231" w:rsidRPr="00077F51">
        <w:rPr>
          <w:color w:val="7030A0"/>
          <w:sz w:val="28"/>
          <w:szCs w:val="28"/>
        </w:rPr>
        <w:t xml:space="preserve">. </w:t>
      </w:r>
      <w:r w:rsidR="00394231" w:rsidRPr="00077F51">
        <w:rPr>
          <w:sz w:val="28"/>
          <w:szCs w:val="28"/>
        </w:rPr>
        <w:t xml:space="preserve">Информация в этот реестр должна </w:t>
      </w:r>
      <w:r w:rsidR="00394231" w:rsidRPr="00077F51">
        <w:rPr>
          <w:color w:val="000000"/>
          <w:sz w:val="28"/>
          <w:szCs w:val="28"/>
        </w:rPr>
        <w:t>попадать автоматически на основании сведений ЕГРЮЛ, ЕГРИП и данных налогового учета, но лучше проверить это перед походом в банк.</w:t>
      </w:r>
    </w:p>
    <w:p w:rsidR="00394231" w:rsidRPr="00077F5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077F51">
        <w:rPr>
          <w:b/>
          <w:color w:val="000000"/>
          <w:sz w:val="28"/>
          <w:szCs w:val="28"/>
        </w:rPr>
        <w:t>П</w:t>
      </w:r>
      <w:r w:rsidR="001324C0" w:rsidRPr="00077F51">
        <w:rPr>
          <w:b/>
          <w:color w:val="000000"/>
          <w:sz w:val="28"/>
          <w:szCs w:val="28"/>
        </w:rPr>
        <w:t xml:space="preserve">роверьте </w:t>
      </w:r>
      <w:r w:rsidR="001324C0" w:rsidRPr="00077F51">
        <w:rPr>
          <w:color w:val="000000"/>
          <w:sz w:val="28"/>
          <w:szCs w:val="28"/>
        </w:rPr>
        <w:t>по </w:t>
      </w:r>
      <w:hyperlink r:id="rId9" w:tgtFrame="_blank" w:history="1">
        <w:r w:rsidR="001324C0" w:rsidRPr="00077F51">
          <w:rPr>
            <w:rStyle w:val="a3"/>
            <w:color w:val="7030A0"/>
            <w:sz w:val="28"/>
            <w:szCs w:val="28"/>
          </w:rPr>
          <w:t>ОКВЭД</w:t>
        </w:r>
      </w:hyperlink>
      <w:r w:rsidRPr="00077F51">
        <w:rPr>
          <w:color w:val="000000"/>
          <w:sz w:val="28"/>
          <w:szCs w:val="28"/>
        </w:rPr>
        <w:t xml:space="preserve"> </w:t>
      </w:r>
      <w:r w:rsidR="001324C0" w:rsidRPr="00077F51">
        <w:rPr>
          <w:color w:val="000000"/>
          <w:sz w:val="28"/>
          <w:szCs w:val="28"/>
        </w:rPr>
        <w:t xml:space="preserve">профиль </w:t>
      </w:r>
      <w:r w:rsidRPr="00077F51">
        <w:rPr>
          <w:color w:val="000000"/>
          <w:sz w:val="28"/>
          <w:szCs w:val="28"/>
        </w:rPr>
        <w:t>ваш</w:t>
      </w:r>
      <w:r w:rsidR="001324C0" w:rsidRPr="00077F51">
        <w:rPr>
          <w:color w:val="000000"/>
          <w:sz w:val="28"/>
          <w:szCs w:val="28"/>
        </w:rPr>
        <w:t>его</w:t>
      </w:r>
      <w:r w:rsidRPr="00077F51">
        <w:rPr>
          <w:color w:val="000000"/>
          <w:sz w:val="28"/>
          <w:szCs w:val="28"/>
        </w:rPr>
        <w:t xml:space="preserve"> бизнес</w:t>
      </w:r>
      <w:r w:rsidR="001324C0" w:rsidRPr="00077F51">
        <w:rPr>
          <w:color w:val="000000"/>
          <w:sz w:val="28"/>
          <w:szCs w:val="28"/>
        </w:rPr>
        <w:t>а</w:t>
      </w:r>
      <w:r w:rsidR="00CC6AEA" w:rsidRPr="00077F51">
        <w:rPr>
          <w:color w:val="000000"/>
          <w:sz w:val="28"/>
          <w:szCs w:val="28"/>
        </w:rPr>
        <w:t xml:space="preserve"> –</w:t>
      </w:r>
      <w:r w:rsidRPr="00077F51">
        <w:rPr>
          <w:color w:val="000000"/>
          <w:sz w:val="28"/>
          <w:szCs w:val="28"/>
        </w:rPr>
        <w:t xml:space="preserve"> соответствует</w:t>
      </w:r>
      <w:r w:rsidR="00CC6AEA" w:rsidRPr="00077F51">
        <w:rPr>
          <w:color w:val="000000"/>
          <w:sz w:val="28"/>
          <w:szCs w:val="28"/>
        </w:rPr>
        <w:t xml:space="preserve"> ли он </w:t>
      </w:r>
      <w:r w:rsidR="001324C0" w:rsidRPr="00077F51">
        <w:rPr>
          <w:color w:val="000000"/>
          <w:sz w:val="28"/>
          <w:szCs w:val="28"/>
        </w:rPr>
        <w:t xml:space="preserve"> перечню </w:t>
      </w:r>
      <w:r w:rsidR="001324C0" w:rsidRPr="00077F51">
        <w:rPr>
          <w:b/>
          <w:color w:val="000000"/>
          <w:sz w:val="28"/>
          <w:szCs w:val="28"/>
        </w:rPr>
        <w:t xml:space="preserve">приоритетных отраслей </w:t>
      </w:r>
      <w:r w:rsidR="001324C0" w:rsidRPr="00077F51">
        <w:rPr>
          <w:color w:val="000000"/>
          <w:sz w:val="28"/>
          <w:szCs w:val="28"/>
        </w:rPr>
        <w:t>(приложение к памятке</w:t>
      </w:r>
      <w:r w:rsidR="001324C0" w:rsidRPr="00077F51">
        <w:rPr>
          <w:b/>
          <w:color w:val="000000"/>
          <w:sz w:val="28"/>
          <w:szCs w:val="28"/>
        </w:rPr>
        <w:t xml:space="preserve">). </w:t>
      </w:r>
      <w:r w:rsidR="00077F51">
        <w:rPr>
          <w:color w:val="000000"/>
          <w:sz w:val="28"/>
          <w:szCs w:val="28"/>
        </w:rPr>
        <w:t xml:space="preserve"> Причем он </w:t>
      </w:r>
      <w:r w:rsidR="00077F51" w:rsidRPr="00077F51">
        <w:rPr>
          <w:color w:val="000000"/>
          <w:sz w:val="28"/>
          <w:szCs w:val="28"/>
        </w:rPr>
        <w:t>может быть,</w:t>
      </w:r>
      <w:r w:rsidRPr="00077F51">
        <w:rPr>
          <w:color w:val="000000"/>
          <w:sz w:val="28"/>
          <w:szCs w:val="28"/>
        </w:rPr>
        <w:t xml:space="preserve"> как основн</w:t>
      </w:r>
      <w:r w:rsidR="00077F51">
        <w:rPr>
          <w:color w:val="000000"/>
          <w:sz w:val="28"/>
          <w:szCs w:val="28"/>
        </w:rPr>
        <w:t xml:space="preserve">ым профилем вашей работы, так и </w:t>
      </w:r>
      <w:r w:rsidRPr="00077F51">
        <w:rPr>
          <w:color w:val="000000"/>
          <w:sz w:val="28"/>
          <w:szCs w:val="28"/>
        </w:rPr>
        <w:t>дополнительным.</w:t>
      </w:r>
    </w:p>
    <w:p w:rsidR="004025B1" w:rsidRPr="00077F51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bCs w:val="0"/>
          <w:color w:val="111111"/>
          <w:sz w:val="28"/>
          <w:szCs w:val="28"/>
        </w:rPr>
        <w:t>Плюс к этому есть еще несколько общих обязательных требований к потенциальным Заемщикам:</w:t>
      </w:r>
    </w:p>
    <w:p w:rsidR="00287B4C" w:rsidRPr="00077F51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51">
        <w:rPr>
          <w:rFonts w:ascii="Times New Roman" w:hAnsi="Times New Roman" w:cs="Times New Roman"/>
          <w:color w:val="2F2F2F"/>
          <w:sz w:val="28"/>
          <w:szCs w:val="28"/>
        </w:rPr>
        <w:t xml:space="preserve">заемщик </w:t>
      </w:r>
      <w:r w:rsidR="004025B1" w:rsidRPr="00077F51">
        <w:rPr>
          <w:rFonts w:ascii="Times New Roman" w:hAnsi="Times New Roman" w:cs="Times New Roman"/>
          <w:color w:val="2F2F2F"/>
          <w:sz w:val="28"/>
          <w:szCs w:val="28"/>
        </w:rPr>
        <w:t>не относится к предприятию игорного бизнеса,</w:t>
      </w:r>
      <w:r w:rsidR="004025B1" w:rsidRPr="00077F51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077F51">
        <w:rPr>
          <w:rFonts w:ascii="Times New Roman" w:hAnsi="Times New Roman" w:cs="Times New Roman"/>
          <w:color w:val="2F2F2F"/>
          <w:sz w:val="28"/>
          <w:szCs w:val="28"/>
        </w:rPr>
        <w:t>не является</w:t>
      </w:r>
      <w:r w:rsidR="004025B1" w:rsidRPr="00077F51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077F51">
        <w:rPr>
          <w:rFonts w:ascii="Times New Roman" w:hAnsi="Times New Roman" w:cs="Times New Roman"/>
          <w:color w:val="2F2F2F"/>
          <w:sz w:val="28"/>
          <w:szCs w:val="28"/>
        </w:rPr>
        <w:t xml:space="preserve">нерезидентом </w:t>
      </w:r>
      <w:r w:rsidR="004025B1" w:rsidRPr="00077F5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AD51CE" w:rsidRPr="00077F51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077F51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077F51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077F51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077F51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077F51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077F51">
        <w:rPr>
          <w:rFonts w:ascii="Times New Roman" w:hAnsi="Times New Roman" w:cs="Times New Roman"/>
          <w:sz w:val="28"/>
          <w:szCs w:val="28"/>
        </w:rPr>
        <w:t>ом</w:t>
      </w:r>
      <w:r w:rsidR="006A3707" w:rsidRPr="00077F51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077F51">
        <w:rPr>
          <w:rFonts w:ascii="Times New Roman" w:hAnsi="Times New Roman" w:cs="Times New Roman"/>
          <w:sz w:val="28"/>
          <w:szCs w:val="28"/>
        </w:rPr>
        <w:t>ом</w:t>
      </w:r>
      <w:r w:rsidR="006A3707" w:rsidRPr="00077F51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077F51">
        <w:rPr>
          <w:rFonts w:ascii="Times New Roman" w:hAnsi="Times New Roman" w:cs="Times New Roman"/>
          <w:sz w:val="28"/>
          <w:szCs w:val="28"/>
        </w:rPr>
        <w:t>ом, участником соглашений о разделе продукции,</w:t>
      </w:r>
      <w:r w:rsidR="00287B4C" w:rsidRPr="00077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E51" w:rsidRPr="00077F51">
        <w:rPr>
          <w:rFonts w:ascii="Times New Roman" w:hAnsi="Times New Roman" w:cs="Times New Roman"/>
          <w:sz w:val="28"/>
          <w:szCs w:val="28"/>
        </w:rPr>
        <w:t xml:space="preserve">предприятием, </w:t>
      </w:r>
      <w:r w:rsidR="00287B4C" w:rsidRPr="00077F51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0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077F51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077F51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1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077F51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077F51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077F51">
        <w:rPr>
          <w:rFonts w:ascii="Times New Roman" w:hAnsi="Times New Roman" w:cs="Times New Roman"/>
          <w:sz w:val="28"/>
          <w:szCs w:val="28"/>
        </w:rPr>
        <w:t>олезных ископаемых;</w:t>
      </w:r>
    </w:p>
    <w:p w:rsidR="004025B1" w:rsidRPr="00077F51" w:rsidRDefault="004820CD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у заемщика</w:t>
      </w:r>
      <w:r w:rsidR="004025B1" w:rsidRPr="00077F51">
        <w:rPr>
          <w:color w:val="2F2F2F"/>
          <w:sz w:val="28"/>
          <w:szCs w:val="28"/>
        </w:rPr>
        <w:t xml:space="preserve"> </w:t>
      </w:r>
      <w:r w:rsidRPr="00077F51">
        <w:rPr>
          <w:color w:val="2F2F2F"/>
          <w:sz w:val="28"/>
          <w:szCs w:val="28"/>
        </w:rPr>
        <w:t xml:space="preserve">имеется </w:t>
      </w:r>
      <w:r w:rsidR="004025B1" w:rsidRPr="00077F51">
        <w:rPr>
          <w:color w:val="2F2F2F"/>
          <w:sz w:val="28"/>
          <w:szCs w:val="28"/>
        </w:rPr>
        <w:t>статус налогового резидента РФ;</w:t>
      </w:r>
    </w:p>
    <w:p w:rsidR="004025B1" w:rsidRPr="00077F51" w:rsidRDefault="004025B1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 xml:space="preserve">нет задолженностей по налогам и сборам и другим обязательным платежам в бюджеты РФ, </w:t>
      </w:r>
      <w:r w:rsidRPr="00077F51">
        <w:rPr>
          <w:b/>
          <w:color w:val="2F2F2F"/>
          <w:sz w:val="28"/>
          <w:szCs w:val="28"/>
        </w:rPr>
        <w:t>превышающей 50 тысяч рублей</w:t>
      </w:r>
      <w:r w:rsidRPr="00077F51">
        <w:rPr>
          <w:color w:val="2F2F2F"/>
          <w:sz w:val="28"/>
          <w:szCs w:val="28"/>
        </w:rPr>
        <w:t xml:space="preserve"> по состоянию на любую дату в течение периода, равного 30 календарным дням, предшествующего дате заключения кредитного договора;</w:t>
      </w:r>
    </w:p>
    <w:p w:rsidR="004025B1" w:rsidRPr="00077F51" w:rsidRDefault="004025B1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заемщик не имеет задолженности перед работниками по заработной плате;</w:t>
      </w:r>
    </w:p>
    <w:p w:rsidR="004025B1" w:rsidRPr="00077F51" w:rsidRDefault="004025B1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имеется положительная кредитная история;</w:t>
      </w:r>
    </w:p>
    <w:p w:rsidR="004025B1" w:rsidRPr="00077F51" w:rsidRDefault="004025B1" w:rsidP="00C94F2D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предприятие не является банкротом.</w:t>
      </w:r>
    </w:p>
    <w:p w:rsidR="00AD51CE" w:rsidRPr="00077F51" w:rsidRDefault="00AD51CE" w:rsidP="00077F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7030A0"/>
          <w:sz w:val="28"/>
          <w:szCs w:val="28"/>
        </w:rPr>
      </w:pPr>
      <w:r w:rsidRPr="00077F51">
        <w:rPr>
          <w:b/>
          <w:sz w:val="28"/>
          <w:szCs w:val="28"/>
        </w:rPr>
        <w:t>Обратитесь в банк</w:t>
      </w:r>
      <w:r w:rsidRPr="00077F51">
        <w:rPr>
          <w:sz w:val="28"/>
          <w:szCs w:val="28"/>
        </w:rPr>
        <w:t> </w:t>
      </w:r>
      <w:r w:rsidRPr="00077F51">
        <w:rPr>
          <w:rStyle w:val="a3"/>
          <w:color w:val="7030A0"/>
          <w:sz w:val="28"/>
          <w:szCs w:val="28"/>
          <w:u w:val="none"/>
        </w:rPr>
        <w:t>—</w:t>
      </w:r>
      <w:r w:rsidRPr="00077F51">
        <w:rPr>
          <w:rStyle w:val="a3"/>
          <w:color w:val="7030A0"/>
          <w:sz w:val="28"/>
          <w:szCs w:val="28"/>
        </w:rPr>
        <w:t xml:space="preserve"> </w:t>
      </w:r>
      <w:hyperlink r:id="rId12" w:tgtFrame="_blank" w:history="1">
        <w:r w:rsidRPr="00077F51">
          <w:rPr>
            <w:rStyle w:val="a3"/>
            <w:color w:val="7030A0"/>
            <w:sz w:val="28"/>
            <w:szCs w:val="28"/>
          </w:rPr>
          <w:t>участник программы Минэкономразвития</w:t>
        </w:r>
      </w:hyperlink>
      <w:r w:rsidRPr="00077F51">
        <w:rPr>
          <w:rStyle w:val="a3"/>
          <w:color w:val="7030A0"/>
          <w:sz w:val="28"/>
          <w:szCs w:val="28"/>
        </w:rPr>
        <w:t>.</w:t>
      </w:r>
    </w:p>
    <w:p w:rsid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r w:rsidRPr="00077F51">
        <w:rPr>
          <w:b/>
          <w:color w:val="000000"/>
          <w:sz w:val="28"/>
          <w:szCs w:val="28"/>
        </w:rPr>
        <w:t xml:space="preserve">Приложение </w:t>
      </w:r>
    </w:p>
    <w:p w:rsidR="00077F51" w:rsidRPr="00077F51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394231" w:rsidRPr="00077F51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077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077F51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C97CF9" w:rsidRPr="00077F51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394231" w:rsidRPr="00077F5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F2F2F"/>
          <w:sz w:val="28"/>
          <w:szCs w:val="28"/>
        </w:rPr>
      </w:pPr>
      <w:r w:rsidRPr="00077F51">
        <w:rPr>
          <w:color w:val="2F2F2F"/>
          <w:sz w:val="28"/>
          <w:szCs w:val="28"/>
        </w:rPr>
        <w:t>На льготные кредиты и займы могут рассчитывать предприниматели, которые работают в приоритетных для государства направлениях: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Сельское хозяйство и услуги в этой области.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Производство и распределение электроэнергии, газа и воды.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Строительство.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области информации и связи.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Транспортировка и хранение.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области здравоохранения.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области образования.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области культуры, спорта.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профессиональная, научная и техническая.</w:t>
      </w:r>
    </w:p>
    <w:p w:rsidR="00394231" w:rsidRPr="00077F51" w:rsidRDefault="002E02F2" w:rsidP="00C94F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сфере бытовых услуг.</w:t>
      </w:r>
    </w:p>
    <w:p w:rsidR="00394231" w:rsidRPr="00077F51" w:rsidRDefault="002E02F2" w:rsidP="00C94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94231" w:rsidRPr="00077F51">
        <w:rPr>
          <w:rFonts w:ascii="Times New Roman" w:hAnsi="Times New Roman" w:cs="Times New Roman"/>
          <w:color w:val="111111"/>
          <w:sz w:val="28"/>
          <w:szCs w:val="28"/>
        </w:rPr>
        <w:t>Деятельность в сфере розничной торговли  на территории  моногородов.</w:t>
      </w:r>
    </w:p>
    <w:p w:rsidR="00394231" w:rsidRPr="00077F51" w:rsidRDefault="00394231" w:rsidP="00C94F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77F51">
        <w:rPr>
          <w:rFonts w:ascii="Times New Roman" w:hAnsi="Times New Roman" w:cs="Times New Roman"/>
          <w:color w:val="111111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077F51" w:rsidRDefault="00077F51" w:rsidP="0007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Default="0007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Default="00077F51" w:rsidP="00077F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Банки - </w:t>
      </w:r>
      <w:r w:rsidRPr="00077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077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программы Минэкономразвития</w:t>
      </w:r>
    </w:p>
    <w:p w:rsidR="00E2417C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111111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/>
      </w:tblPr>
      <w:tblGrid>
        <w:gridCol w:w="4728"/>
        <w:gridCol w:w="4985"/>
      </w:tblGrid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"Левобережный"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"Промсвязьбанк"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"АЛЬФА-БАНК"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Камкомбанк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Банк "Национальный стандарт"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"БАНК ОРЕНБУРГ"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СКБ Приморья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Примсоцбанк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"СДМ-Банк" (ПАО)</w:t>
            </w: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 xml:space="preserve">ПАО 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Ставропольпромстройбанк</w:t>
            </w:r>
            <w:proofErr w:type="spellEnd"/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"МСП 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Азиатско-Тихоокеанский Банк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>
              <w:rPr>
                <w:rFonts w:ascii="Arial" w:hAnsi="Arial" w:cs="Arial"/>
                <w:color w:val="1E1E1E"/>
                <w:shd w:val="clear" w:color="auto" w:fill="FFFFFF"/>
              </w:rPr>
              <w:t>ООО "</w:t>
            </w:r>
            <w:proofErr w:type="spellStart"/>
            <w:r>
              <w:rPr>
                <w:rFonts w:ascii="Arial" w:hAnsi="Arial" w:cs="Arial"/>
                <w:color w:val="1E1E1E"/>
                <w:shd w:val="clear" w:color="auto" w:fill="FFFFFF"/>
              </w:rPr>
              <w:t>Примтеркомбанк</w:t>
            </w:r>
            <w:proofErr w:type="spellEnd"/>
            <w:r>
              <w:rPr>
                <w:rFonts w:ascii="Arial" w:hAnsi="Arial" w:cs="Arial"/>
                <w:color w:val="1E1E1E"/>
                <w:shd w:val="clear" w:color="auto" w:fill="FFFFFF"/>
              </w:rPr>
              <w:t>"</w:t>
            </w: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proofErr w:type="spellStart"/>
            <w:r w:rsidRPr="006613D1">
              <w:rPr>
                <w:color w:val="2F2F2F"/>
                <w:sz w:val="28"/>
                <w:szCs w:val="28"/>
              </w:rPr>
              <w:t>Прио-Внешторгбанк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 xml:space="preserve">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ТКБ БАНК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"Возрождение"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КБ "Гарант-Инвест" (АО)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"Дальневосточный 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 xml:space="preserve">АО </w:t>
            </w:r>
            <w:proofErr w:type="gramStart"/>
            <w:r w:rsidRPr="006613D1">
              <w:rPr>
                <w:color w:val="2F2F2F"/>
                <w:sz w:val="28"/>
                <w:szCs w:val="28"/>
              </w:rPr>
              <w:t>КИБ</w:t>
            </w:r>
            <w:proofErr w:type="gramEnd"/>
            <w:r w:rsidRPr="006613D1">
              <w:rPr>
                <w:color w:val="2F2F2F"/>
                <w:sz w:val="28"/>
                <w:szCs w:val="28"/>
              </w:rPr>
              <w:t xml:space="preserve"> "ЕВРОАЛЬЯНС"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КБ "Калуга"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МОРСКОЙ БАНК (АО)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"НИКО-БАНК"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"Райффайзенбанк"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РНКБ Банк (ПАО)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РОСБАНК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Россельхозбанк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"САРОВБИЗНЕСБАНК"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6613D1" w:rsidRPr="006613D1" w:rsidTr="00680857">
        <w:trPr>
          <w:trHeight w:val="907"/>
        </w:trPr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Сбербанк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БАНК "СИАБ"</w:t>
            </w:r>
          </w:p>
          <w:p w:rsidR="006613D1" w:rsidRPr="006613D1" w:rsidRDefault="006613D1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07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lastRenderedPageBreak/>
              <w:t>"СИБСОЦБАНК" ООО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Снежинский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 АО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66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Совкомбанк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"Банк Стандарт-Кредит"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66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КБ "СТРОЙЛЕСБАНК" (ООО)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"Хакасский муниципальный 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66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ООО банк "Элита"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ОАО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Юг-Инвестбанк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966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ВТБ (ПАО)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"АК БАРС" БАНК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"Банк Акцепт"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АО КБ "Ассоциация"</w:t>
            </w: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"ГЕНБАНК"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Курскпромбанк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"МОСКОВСКИЙ КРЕДИТНЫЙ 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Томскпромстройбанк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ПАО КБ "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Центр-инвест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КБ "ЭНЕРГОТРАНСБАНК" (АО)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АКБ "АКТИВ БАНК" (ПАО)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АКБ «</w:t>
            </w:r>
            <w:proofErr w:type="spellStart"/>
            <w:r w:rsidRPr="006613D1">
              <w:rPr>
                <w:color w:val="2F2F2F"/>
                <w:sz w:val="28"/>
                <w:szCs w:val="28"/>
              </w:rPr>
              <w:t>Алмазэргиэнбанк</w:t>
            </w:r>
            <w:proofErr w:type="spellEnd"/>
            <w:r w:rsidRPr="006613D1">
              <w:rPr>
                <w:color w:val="2F2F2F"/>
                <w:sz w:val="28"/>
                <w:szCs w:val="28"/>
              </w:rPr>
              <w:t>» АО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"Банк "Вологжанин"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Банк Газпромбанк (АО)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БАНК "СНГБ"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6613D1">
              <w:rPr>
                <w:color w:val="2F2F2F"/>
                <w:sz w:val="28"/>
                <w:szCs w:val="28"/>
              </w:rPr>
              <w:t>АО "ВЛАДБИЗНЕСБАНК"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Банк ИПБ (АО)</w:t>
            </w:r>
          </w:p>
        </w:tc>
        <w:tc>
          <w:tcPr>
            <w:tcW w:w="0" w:type="auto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КБ "Кубань Кредит" ООО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ПАО Банк "Кузнецкий"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ПАО "НБД-Банк"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ПАО "ЧЕЛЯБИНВЕСТБАНК"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АКБ "</w:t>
            </w:r>
            <w:proofErr w:type="spellStart"/>
            <w:r w:rsidRPr="00E2417C">
              <w:rPr>
                <w:color w:val="2F2F2F"/>
                <w:sz w:val="28"/>
                <w:szCs w:val="28"/>
              </w:rPr>
              <w:t>Энергобанк</w:t>
            </w:r>
            <w:proofErr w:type="spellEnd"/>
            <w:r w:rsidRPr="00E2417C">
              <w:rPr>
                <w:color w:val="2F2F2F"/>
                <w:sz w:val="28"/>
                <w:szCs w:val="28"/>
              </w:rPr>
              <w:t>" (ПАО)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680857">
        <w:trPr>
          <w:trHeight w:val="567"/>
        </w:trPr>
        <w:tc>
          <w:tcPr>
            <w:tcW w:w="4728" w:type="dxa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 АО "</w:t>
            </w:r>
            <w:proofErr w:type="spellStart"/>
            <w:r w:rsidRPr="00E2417C">
              <w:rPr>
                <w:color w:val="2F2F2F"/>
                <w:sz w:val="28"/>
                <w:szCs w:val="28"/>
              </w:rPr>
              <w:t>Углеметбанк</w:t>
            </w:r>
            <w:proofErr w:type="spellEnd"/>
            <w:r w:rsidRPr="00E2417C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АО "</w:t>
            </w:r>
            <w:proofErr w:type="spellStart"/>
            <w:r w:rsidRPr="00E2417C">
              <w:rPr>
                <w:color w:val="2F2F2F"/>
                <w:sz w:val="28"/>
                <w:szCs w:val="28"/>
              </w:rPr>
              <w:t>Нефтепромбанк</w:t>
            </w:r>
            <w:proofErr w:type="spellEnd"/>
            <w:r w:rsidRPr="00E2417C">
              <w:rPr>
                <w:color w:val="2F2F2F"/>
                <w:sz w:val="28"/>
                <w:szCs w:val="28"/>
              </w:rPr>
              <w:t>"</w:t>
            </w:r>
          </w:p>
          <w:p w:rsidR="00E2417C" w:rsidRPr="006613D1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  <w:tr w:rsidR="00E2417C" w:rsidRPr="006613D1" w:rsidTr="000628AD">
        <w:trPr>
          <w:trHeight w:val="1553"/>
        </w:trPr>
        <w:tc>
          <w:tcPr>
            <w:tcW w:w="4728" w:type="dxa"/>
          </w:tcPr>
          <w:p w:rsidR="00E2417C" w:rsidRP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  <w:r w:rsidRPr="00E2417C">
              <w:rPr>
                <w:color w:val="2F2F2F"/>
                <w:sz w:val="28"/>
                <w:szCs w:val="28"/>
              </w:rPr>
              <w:t>АО "СМП Банк"</w:t>
            </w:r>
          </w:p>
          <w:p w:rsidR="00E2417C" w:rsidRDefault="00E2417C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  <w:p w:rsidR="003A42E2" w:rsidRDefault="003A42E2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  <w:p w:rsidR="003A42E2" w:rsidRDefault="003A42E2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  <w:p w:rsidR="003A42E2" w:rsidRDefault="003A42E2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  <w:p w:rsidR="003A42E2" w:rsidRPr="006613D1" w:rsidRDefault="003A42E2" w:rsidP="00E2417C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  <w:tc>
          <w:tcPr>
            <w:tcW w:w="0" w:type="auto"/>
          </w:tcPr>
          <w:p w:rsidR="00E2417C" w:rsidRPr="006613D1" w:rsidRDefault="00E2417C" w:rsidP="006613D1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2F2F2F"/>
                <w:sz w:val="28"/>
                <w:szCs w:val="28"/>
              </w:rPr>
            </w:pPr>
          </w:p>
        </w:tc>
      </w:tr>
    </w:tbl>
    <w:p w:rsidR="00150761" w:rsidRDefault="00150761" w:rsidP="003A42E2">
      <w:pPr>
        <w:pStyle w:val="a4"/>
        <w:shd w:val="clear" w:color="auto" w:fill="FFFFFF"/>
        <w:spacing w:before="0" w:beforeAutospacing="0" w:after="0" w:afterAutospacing="0"/>
        <w:ind w:firstLine="709"/>
      </w:pPr>
    </w:p>
    <w:sectPr w:rsidR="00150761" w:rsidSect="00E241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1A" w:rsidRDefault="0010681A" w:rsidP="00077F51">
      <w:pPr>
        <w:spacing w:after="0" w:line="240" w:lineRule="auto"/>
      </w:pPr>
      <w:r>
        <w:separator/>
      </w:r>
    </w:p>
  </w:endnote>
  <w:endnote w:type="continuationSeparator" w:id="0">
    <w:p w:rsidR="0010681A" w:rsidRDefault="0010681A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1A" w:rsidRDefault="0010681A" w:rsidP="00077F51">
      <w:pPr>
        <w:spacing w:after="0" w:line="240" w:lineRule="auto"/>
      </w:pPr>
      <w:r>
        <w:separator/>
      </w:r>
    </w:p>
  </w:footnote>
  <w:footnote w:type="continuationSeparator" w:id="0">
    <w:p w:rsidR="0010681A" w:rsidRDefault="0010681A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7C" w:rsidRDefault="00E241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74E3"/>
    <w:rsid w:val="000628AD"/>
    <w:rsid w:val="00077F51"/>
    <w:rsid w:val="000F68F7"/>
    <w:rsid w:val="00100976"/>
    <w:rsid w:val="0010681A"/>
    <w:rsid w:val="001324C0"/>
    <w:rsid w:val="001476F1"/>
    <w:rsid w:val="00150761"/>
    <w:rsid w:val="00287B4C"/>
    <w:rsid w:val="002E02F2"/>
    <w:rsid w:val="00362E51"/>
    <w:rsid w:val="00394231"/>
    <w:rsid w:val="003A42E2"/>
    <w:rsid w:val="004025B1"/>
    <w:rsid w:val="004820CD"/>
    <w:rsid w:val="0058037C"/>
    <w:rsid w:val="00650F90"/>
    <w:rsid w:val="006613D1"/>
    <w:rsid w:val="00680857"/>
    <w:rsid w:val="006A3707"/>
    <w:rsid w:val="006D6178"/>
    <w:rsid w:val="00717137"/>
    <w:rsid w:val="0072170A"/>
    <w:rsid w:val="007574E3"/>
    <w:rsid w:val="007C082B"/>
    <w:rsid w:val="007E3709"/>
    <w:rsid w:val="00803D1A"/>
    <w:rsid w:val="00851C4D"/>
    <w:rsid w:val="008D700E"/>
    <w:rsid w:val="00935030"/>
    <w:rsid w:val="00964120"/>
    <w:rsid w:val="009C7B3C"/>
    <w:rsid w:val="00A17564"/>
    <w:rsid w:val="00AD51CE"/>
    <w:rsid w:val="00B3645B"/>
    <w:rsid w:val="00C22D5B"/>
    <w:rsid w:val="00C60CCB"/>
    <w:rsid w:val="00C94F2D"/>
    <w:rsid w:val="00C97CF9"/>
    <w:rsid w:val="00CC6AEA"/>
    <w:rsid w:val="00CD550C"/>
    <w:rsid w:val="00E02608"/>
    <w:rsid w:val="00E2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4D"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onomy.gov.ru/minec/about/structure/depinvest/201904030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32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183E-99EE-44BE-938A-9FEDA3F5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Maksim Astapenkov</cp:lastModifiedBy>
  <cp:revision>2</cp:revision>
  <dcterms:created xsi:type="dcterms:W3CDTF">2019-06-14T09:52:00Z</dcterms:created>
  <dcterms:modified xsi:type="dcterms:W3CDTF">2019-06-14T09:52:00Z</dcterms:modified>
</cp:coreProperties>
</file>